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95769" w:rsidRPr="00995769" w:rsidTr="00995769">
        <w:trPr>
          <w:jc w:val="center"/>
        </w:trPr>
        <w:tc>
          <w:tcPr>
            <w:tcW w:w="0" w:type="auto"/>
            <w:shd w:val="clear" w:color="auto" w:fill="FFFFFF"/>
            <w:vAlign w:val="center"/>
            <w:hideMark/>
          </w:tcPr>
          <w:tbl>
            <w:tblPr>
              <w:tblpPr w:leftFromText="180" w:rightFromText="180" w:vertAnchor="text"/>
              <w:tblW w:w="9000" w:type="dxa"/>
              <w:tblCellMar>
                <w:left w:w="0" w:type="dxa"/>
                <w:right w:w="0" w:type="dxa"/>
              </w:tblCellMar>
              <w:tblLook w:val="04A0" w:firstRow="1" w:lastRow="0" w:firstColumn="1" w:lastColumn="0" w:noHBand="0" w:noVBand="1"/>
            </w:tblPr>
            <w:tblGrid>
              <w:gridCol w:w="4500"/>
              <w:gridCol w:w="4500"/>
            </w:tblGrid>
            <w:tr w:rsidR="00995769" w:rsidRPr="00995769">
              <w:tc>
                <w:tcPr>
                  <w:tcW w:w="5000" w:type="pct"/>
                  <w:gridSpan w:val="2"/>
                  <w:vAlign w:val="center"/>
                  <w:hideMark/>
                </w:tcPr>
                <w:p w:rsidR="00995769" w:rsidRPr="00995769" w:rsidRDefault="00995769" w:rsidP="0001130E">
                  <w:pPr>
                    <w:spacing w:after="0" w:line="224" w:lineRule="atLeast"/>
                    <w:ind w:left="360" w:right="540"/>
                    <w:rPr>
                      <w:rFonts w:ascii="Helvetica" w:eastAsia="Times New Roman" w:hAnsi="Helvetica" w:cs="Helvetica"/>
                      <w:sz w:val="24"/>
                      <w:szCs w:val="24"/>
                    </w:rPr>
                  </w:pPr>
                  <w:bookmarkStart w:id="0" w:name="_GoBack"/>
                  <w:bookmarkEnd w:id="0"/>
                  <w:r w:rsidRPr="00995769">
                    <w:rPr>
                      <w:rFonts w:ascii="Helvetica" w:eastAsia="Times New Roman" w:hAnsi="Helvetica" w:cs="Helvetica"/>
                      <w:sz w:val="24"/>
                      <w:szCs w:val="24"/>
                    </w:rPr>
                    <w:t>In everybody’s career, there comes a time to say goodbye to the job. Delta Dental’s </w:t>
                  </w:r>
                  <w:hyperlink r:id="rId4" w:tgtFrame="_blank" w:history="1">
                    <w:r w:rsidRPr="00995769">
                      <w:rPr>
                        <w:rFonts w:ascii="Helvetica" w:eastAsia="Times New Roman" w:hAnsi="Helvetica" w:cs="Helvetica"/>
                        <w:color w:val="41A928"/>
                        <w:sz w:val="24"/>
                        <w:szCs w:val="24"/>
                        <w:u w:val="single"/>
                      </w:rPr>
                      <w:t>Smile On</w:t>
                    </w:r>
                  </w:hyperlink>
                  <w:r w:rsidRPr="00995769">
                    <w:rPr>
                      <w:rFonts w:ascii="Helvetica" w:eastAsia="Times New Roman" w:hAnsi="Helvetica" w:cs="Helvetica"/>
                      <w:sz w:val="24"/>
                      <w:szCs w:val="24"/>
                    </w:rPr>
                    <w:t> program helps make the transition easy, and is also a great option for employees who aren’t eligible for dental coverage.</w:t>
                  </w:r>
                </w:p>
              </w:tc>
            </w:tr>
            <w:tr w:rsidR="00995769" w:rsidRPr="00995769">
              <w:tc>
                <w:tcPr>
                  <w:tcW w:w="2500" w:type="pct"/>
                  <w:vAlign w:val="center"/>
                  <w:hideMark/>
                </w:tcPr>
                <w:p w:rsidR="00995769" w:rsidRPr="00995769" w:rsidRDefault="00995769" w:rsidP="00995769">
                  <w:pPr>
                    <w:spacing w:after="0" w:line="205" w:lineRule="atLeast"/>
                    <w:rPr>
                      <w:rFonts w:ascii="Helvetica" w:eastAsia="Times New Roman" w:hAnsi="Helvetica" w:cs="Helvetica"/>
                      <w:sz w:val="24"/>
                      <w:szCs w:val="24"/>
                    </w:rPr>
                  </w:pPr>
                </w:p>
              </w:tc>
              <w:tc>
                <w:tcPr>
                  <w:tcW w:w="2500" w:type="pct"/>
                  <w:tcMar>
                    <w:top w:w="450" w:type="dxa"/>
                    <w:left w:w="450" w:type="dxa"/>
                    <w:bottom w:w="450" w:type="dxa"/>
                    <w:right w:w="450" w:type="dxa"/>
                  </w:tcMar>
                  <w:vAlign w:val="center"/>
                  <w:hideMark/>
                </w:tcPr>
                <w:p w:rsidR="00995769" w:rsidRPr="00995769" w:rsidRDefault="0003620B" w:rsidP="00995769">
                  <w:pPr>
                    <w:spacing w:after="0" w:line="240" w:lineRule="atLeast"/>
                    <w:jc w:val="right"/>
                    <w:rPr>
                      <w:rFonts w:ascii="Helvetica" w:eastAsia="Times New Roman" w:hAnsi="Helvetica" w:cs="Helvetica"/>
                      <w:sz w:val="24"/>
                      <w:szCs w:val="24"/>
                    </w:rPr>
                  </w:pPr>
                  <w:hyperlink r:id="rId5" w:tgtFrame="_blank" w:history="1">
                    <w:r w:rsidR="00995769" w:rsidRPr="00995769">
                      <w:rPr>
                        <w:rFonts w:ascii="Helvetica" w:eastAsia="Times New Roman" w:hAnsi="Helvetica" w:cs="Helvetica"/>
                        <w:color w:val="43B02A"/>
                        <w:sz w:val="24"/>
                        <w:szCs w:val="24"/>
                        <w:u w:val="single"/>
                      </w:rPr>
                      <w:t>See individual plans</w:t>
                    </w:r>
                  </w:hyperlink>
                </w:p>
              </w:tc>
            </w:tr>
          </w:tbl>
          <w:p w:rsidR="00995769" w:rsidRPr="00995769" w:rsidRDefault="00995769" w:rsidP="00995769">
            <w:pPr>
              <w:spacing w:after="0" w:line="240" w:lineRule="auto"/>
              <w:rPr>
                <w:rFonts w:ascii="Helvetica" w:eastAsia="Times New Roman" w:hAnsi="Helvetica" w:cs="Helvetica"/>
                <w:sz w:val="24"/>
                <w:szCs w:val="24"/>
              </w:rPr>
            </w:pPr>
          </w:p>
        </w:tc>
      </w:tr>
      <w:tr w:rsidR="00995769" w:rsidRPr="00995769" w:rsidTr="00995769">
        <w:trPr>
          <w:jc w:val="center"/>
        </w:trPr>
        <w:tc>
          <w:tcPr>
            <w:tcW w:w="0" w:type="auto"/>
            <w:shd w:val="clear" w:color="auto" w:fill="41A928"/>
            <w:vAlign w:val="center"/>
            <w:hideMark/>
          </w:tcPr>
          <w:tbl>
            <w:tblPr>
              <w:tblW w:w="8100" w:type="dxa"/>
              <w:jc w:val="center"/>
              <w:shd w:val="clear" w:color="auto" w:fill="41A928"/>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shd w:val="clear" w:color="auto" w:fill="41A928"/>
                  <w:tcMar>
                    <w:top w:w="225" w:type="dxa"/>
                    <w:left w:w="0" w:type="dxa"/>
                    <w:bottom w:w="225" w:type="dxa"/>
                    <w:right w:w="0" w:type="dxa"/>
                  </w:tcMar>
                  <w:vAlign w:val="center"/>
                  <w:hideMark/>
                </w:tcPr>
                <w:p w:rsidR="00995769" w:rsidRPr="00995769" w:rsidRDefault="00995769" w:rsidP="00995769">
                  <w:pPr>
                    <w:spacing w:after="0" w:line="480" w:lineRule="atLeast"/>
                    <w:rPr>
                      <w:rFonts w:ascii="Helvetica" w:eastAsia="Times New Roman" w:hAnsi="Helvetica" w:cs="Helvetica"/>
                      <w:sz w:val="24"/>
                      <w:szCs w:val="24"/>
                    </w:rPr>
                  </w:pPr>
                  <w:r w:rsidRPr="00995769">
                    <w:rPr>
                      <w:rFonts w:ascii="Helvetica" w:eastAsia="Times New Roman" w:hAnsi="Helvetica" w:cs="Helvetica"/>
                      <w:color w:val="FFFFFF"/>
                      <w:spacing w:val="15"/>
                      <w:sz w:val="32"/>
                      <w:szCs w:val="32"/>
                    </w:rPr>
                    <w:t xml:space="preserve">Smile </w:t>
                  </w:r>
                  <w:proofErr w:type="gramStart"/>
                  <w:r w:rsidRPr="00995769">
                    <w:rPr>
                      <w:rFonts w:ascii="Helvetica" w:eastAsia="Times New Roman" w:hAnsi="Helvetica" w:cs="Helvetica"/>
                      <w:color w:val="FFFFFF"/>
                      <w:spacing w:val="15"/>
                      <w:sz w:val="32"/>
                      <w:szCs w:val="32"/>
                    </w:rPr>
                    <w:t>On</w:t>
                  </w:r>
                  <w:proofErr w:type="gramEnd"/>
                  <w:r w:rsidRPr="00995769">
                    <w:rPr>
                      <w:rFonts w:ascii="Helvetica" w:eastAsia="Times New Roman" w:hAnsi="Helvetica" w:cs="Helvetica"/>
                      <w:color w:val="FFFFFF"/>
                      <w:spacing w:val="15"/>
                      <w:sz w:val="32"/>
                      <w:szCs w:val="32"/>
                    </w:rPr>
                    <w:t xml:space="preserve"> with Delta Dental</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2F2F2"/>
            <w:vAlign w:val="center"/>
            <w:hideMark/>
          </w:tcPr>
          <w:p w:rsidR="00995769" w:rsidRPr="00995769" w:rsidRDefault="00995769" w:rsidP="00995769">
            <w:pPr>
              <w:spacing w:after="0" w:line="240" w:lineRule="atLeast"/>
              <w:rPr>
                <w:rFonts w:ascii="Helvetica" w:eastAsia="Times New Roman" w:hAnsi="Helvetica" w:cs="Helvetica"/>
                <w:sz w:val="24"/>
                <w:szCs w:val="24"/>
              </w:rPr>
            </w:pPr>
          </w:p>
        </w:tc>
      </w:tr>
      <w:tr w:rsidR="00995769" w:rsidRPr="00995769" w:rsidTr="00995769">
        <w:trPr>
          <w:jc w:val="center"/>
        </w:trPr>
        <w:tc>
          <w:tcPr>
            <w:tcW w:w="0" w:type="auto"/>
            <w:shd w:val="clear" w:color="auto" w:fill="F2F2F2"/>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450" w:type="dxa"/>
                    <w:left w:w="0" w:type="dxa"/>
                    <w:bottom w:w="225" w:type="dxa"/>
                    <w:right w:w="0" w:type="dxa"/>
                  </w:tcMar>
                  <w:vAlign w:val="center"/>
                  <w:hideMark/>
                </w:tcPr>
                <w:p w:rsidR="00995769" w:rsidRPr="00995769" w:rsidRDefault="00995769" w:rsidP="00995769">
                  <w:pPr>
                    <w:spacing w:after="0" w:line="528" w:lineRule="atLeast"/>
                    <w:jc w:val="center"/>
                    <w:outlineLvl w:val="0"/>
                    <w:rPr>
                      <w:rFonts w:ascii="Helvetica" w:eastAsia="Times New Roman" w:hAnsi="Helvetica" w:cs="Helvetica"/>
                      <w:b/>
                      <w:bCs/>
                      <w:kern w:val="36"/>
                      <w:sz w:val="48"/>
                      <w:szCs w:val="48"/>
                    </w:rPr>
                  </w:pPr>
                  <w:r w:rsidRPr="00995769">
                    <w:rPr>
                      <w:rFonts w:ascii="Helvetica" w:eastAsia="Times New Roman" w:hAnsi="Helvetica" w:cs="Helvetica"/>
                      <w:color w:val="0A0B09"/>
                      <w:spacing w:val="15"/>
                      <w:kern w:val="36"/>
                      <w:sz w:val="48"/>
                      <w:szCs w:val="48"/>
                    </w:rPr>
                    <w:t>Don’t go uncovered when retiring or changing jobs</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tcMar>
              <w:top w:w="450" w:type="dxa"/>
              <w:left w:w="0" w:type="dxa"/>
              <w:bottom w:w="0" w:type="dxa"/>
              <w:right w:w="0" w:type="dxa"/>
            </w:tcMar>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225" w:type="dxa"/>
                    <w:left w:w="0" w:type="dxa"/>
                    <w:bottom w:w="450" w:type="dxa"/>
                    <w:right w:w="0" w:type="dxa"/>
                  </w:tcMar>
                  <w:vAlign w:val="center"/>
                  <w:hideMark/>
                </w:tcPr>
                <w:p w:rsidR="00995769" w:rsidRPr="00995769" w:rsidRDefault="00995769" w:rsidP="00995769">
                  <w:pPr>
                    <w:spacing w:after="0" w:line="351" w:lineRule="atLeast"/>
                    <w:rPr>
                      <w:rFonts w:ascii="Helvetica" w:eastAsia="Times New Roman" w:hAnsi="Helvetica" w:cs="Helvetica"/>
                      <w:sz w:val="24"/>
                      <w:szCs w:val="24"/>
                    </w:rPr>
                  </w:pPr>
                  <w:r w:rsidRPr="00995769">
                    <w:rPr>
                      <w:rFonts w:ascii="Helvetica" w:eastAsia="Times New Roman" w:hAnsi="Helvetica" w:cs="Helvetica"/>
                      <w:color w:val="262626"/>
                      <w:sz w:val="27"/>
                      <w:szCs w:val="27"/>
                    </w:rPr>
                    <w:t>Retirement or a career transition doesn’t have to mean the end of your dental coverage</w:t>
                  </w:r>
                  <w:r w:rsidRPr="00995769">
                    <w:rPr>
                      <w:rFonts w:ascii="Helvetica" w:eastAsia="Times New Roman" w:hAnsi="Helvetica" w:cs="Helvetica"/>
                      <w:color w:val="338720"/>
                      <w:sz w:val="27"/>
                      <w:szCs w:val="27"/>
                      <w:vertAlign w:val="superscript"/>
                    </w:rPr>
                    <w:t>1</w:t>
                  </w:r>
                  <w:r w:rsidRPr="00995769">
                    <w:rPr>
                      <w:rFonts w:ascii="Helvetica" w:eastAsia="Times New Roman" w:hAnsi="Helvetica" w:cs="Helvetica"/>
                      <w:color w:val="262626"/>
                      <w:sz w:val="27"/>
                      <w:szCs w:val="27"/>
                    </w:rPr>
                    <w:t>. With the Smile On program from Delta Dental, you can keep your smile bright and healthy no matter where you are in your career. You could also save money on routine dental care like exams, cleanings and x-rays and any unexpected emergencies life might throw at you.</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tcMar>
              <w:top w:w="225" w:type="dxa"/>
              <w:left w:w="225" w:type="dxa"/>
              <w:bottom w:w="450" w:type="dxa"/>
              <w:right w:w="225" w:type="dxa"/>
            </w:tcMar>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673"/>
                    <w:gridCol w:w="2754"/>
                    <w:gridCol w:w="2673"/>
                  </w:tblGrid>
                  <w:tr w:rsidR="00995769" w:rsidRPr="00995769">
                    <w:trPr>
                      <w:jc w:val="center"/>
                    </w:trPr>
                    <w:tc>
                      <w:tcPr>
                        <w:tcW w:w="1650" w:type="pct"/>
                        <w:vAlign w:val="center"/>
                        <w:hideMark/>
                      </w:tcPr>
                      <w:p w:rsidR="00995769" w:rsidRPr="00995769" w:rsidRDefault="00995769" w:rsidP="00995769">
                        <w:pPr>
                          <w:spacing w:after="0" w:line="240" w:lineRule="auto"/>
                          <w:rPr>
                            <w:rFonts w:ascii="Times New Roman" w:eastAsia="Times New Roman" w:hAnsi="Times New Roman" w:cs="Times New Roman"/>
                            <w:sz w:val="20"/>
                            <w:szCs w:val="20"/>
                          </w:rPr>
                        </w:pPr>
                      </w:p>
                    </w:tc>
                    <w:tc>
                      <w:tcPr>
                        <w:tcW w:w="1700" w:type="pct"/>
                        <w:tcBorders>
                          <w:top w:val="single" w:sz="8" w:space="0" w:color="338720"/>
                          <w:left w:val="single" w:sz="8" w:space="0" w:color="338720"/>
                          <w:bottom w:val="single" w:sz="8" w:space="0" w:color="338720"/>
                          <w:right w:val="single" w:sz="8" w:space="0" w:color="338720"/>
                        </w:tcBorders>
                        <w:shd w:val="clear" w:color="auto" w:fill="41A928"/>
                        <w:tcMar>
                          <w:top w:w="225" w:type="dxa"/>
                          <w:left w:w="225" w:type="dxa"/>
                          <w:bottom w:w="225" w:type="dxa"/>
                          <w:right w:w="225" w:type="dxa"/>
                        </w:tcMar>
                        <w:vAlign w:val="center"/>
                        <w:hideMark/>
                      </w:tcPr>
                      <w:p w:rsidR="00995769" w:rsidRPr="00995769" w:rsidRDefault="0003620B" w:rsidP="00995769">
                        <w:pPr>
                          <w:spacing w:after="0" w:line="205" w:lineRule="atLeast"/>
                          <w:jc w:val="center"/>
                          <w:rPr>
                            <w:rFonts w:ascii="Helvetica" w:eastAsia="Times New Roman" w:hAnsi="Helvetica" w:cs="Helvetica"/>
                            <w:sz w:val="24"/>
                            <w:szCs w:val="24"/>
                          </w:rPr>
                        </w:pPr>
                        <w:hyperlink r:id="rId6" w:tgtFrame="_blank" w:history="1">
                          <w:r w:rsidR="00995769" w:rsidRPr="00995769">
                            <w:rPr>
                              <w:rFonts w:ascii="Helvetica" w:eastAsia="Times New Roman" w:hAnsi="Helvetica" w:cs="Helvetica"/>
                              <w:color w:val="FFFFFF"/>
                              <w:sz w:val="27"/>
                              <w:szCs w:val="27"/>
                            </w:rPr>
                            <w:t>See the plans</w:t>
                          </w:r>
                        </w:hyperlink>
                      </w:p>
                    </w:tc>
                    <w:tc>
                      <w:tcPr>
                        <w:tcW w:w="1650" w:type="pct"/>
                        <w:vAlign w:val="center"/>
                        <w:hideMark/>
                      </w:tcPr>
                      <w:p w:rsidR="00995769" w:rsidRPr="00995769" w:rsidRDefault="00995769" w:rsidP="00995769">
                        <w:pPr>
                          <w:spacing w:after="0" w:line="240" w:lineRule="auto"/>
                          <w:rPr>
                            <w:rFonts w:ascii="Helvetica" w:eastAsia="Times New Roman" w:hAnsi="Helvetica" w:cs="Helvetica"/>
                            <w:sz w:val="24"/>
                            <w:szCs w:val="24"/>
                          </w:rPr>
                        </w:pP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225" w:type="dxa"/>
                    <w:left w:w="0" w:type="dxa"/>
                    <w:bottom w:w="450" w:type="dxa"/>
                    <w:right w:w="0" w:type="dxa"/>
                  </w:tcMar>
                  <w:vAlign w:val="center"/>
                  <w:hideMark/>
                </w:tcPr>
                <w:p w:rsidR="00995769" w:rsidRPr="00995769" w:rsidRDefault="00995769" w:rsidP="00995769">
                  <w:pPr>
                    <w:spacing w:after="0" w:line="351" w:lineRule="atLeast"/>
                    <w:rPr>
                      <w:rFonts w:ascii="Helvetica" w:eastAsia="Times New Roman" w:hAnsi="Helvetica" w:cs="Helvetica"/>
                      <w:sz w:val="24"/>
                      <w:szCs w:val="24"/>
                    </w:rPr>
                  </w:pPr>
                  <w:r w:rsidRPr="00995769">
                    <w:rPr>
                      <w:rFonts w:ascii="Helvetica" w:eastAsia="Times New Roman" w:hAnsi="Helvetica" w:cs="Helvetica"/>
                      <w:color w:val="262626"/>
                      <w:sz w:val="27"/>
                      <w:szCs w:val="27"/>
                    </w:rPr>
                    <w:t>An individual dental plan is also a great way to save at a dentist you already know and trust. If your dentist is part of the Delta Dental network, you could get added savings on care. And if you don’t currently have a dentist, Delta Dental’s nationwide network makes it easy to find one you’ll love.</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225" w:type="dxa"/>
                    <w:left w:w="0" w:type="dxa"/>
                    <w:bottom w:w="450" w:type="dxa"/>
                    <w:right w:w="0" w:type="dxa"/>
                  </w:tcMar>
                  <w:vAlign w:val="center"/>
                  <w:hideMark/>
                </w:tcPr>
                <w:p w:rsidR="00995769" w:rsidRPr="00995769" w:rsidRDefault="00995769" w:rsidP="00995769">
                  <w:pPr>
                    <w:spacing w:after="0" w:line="351" w:lineRule="atLeast"/>
                    <w:rPr>
                      <w:rFonts w:ascii="Helvetica" w:eastAsia="Times New Roman" w:hAnsi="Helvetica" w:cs="Helvetica"/>
                      <w:sz w:val="24"/>
                      <w:szCs w:val="24"/>
                    </w:rPr>
                  </w:pPr>
                  <w:r w:rsidRPr="00995769">
                    <w:rPr>
                      <w:rFonts w:ascii="Helvetica" w:eastAsia="Times New Roman" w:hAnsi="Helvetica" w:cs="Helvetica"/>
                      <w:color w:val="262626"/>
                      <w:sz w:val="27"/>
                      <w:szCs w:val="27"/>
                    </w:rPr>
                    <w:lastRenderedPageBreak/>
                    <w:t>Don’t wait for an emergency to come up or for your coverage to expire. Smile On today!</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tcMar>
              <w:top w:w="225" w:type="dxa"/>
              <w:left w:w="225" w:type="dxa"/>
              <w:bottom w:w="450" w:type="dxa"/>
              <w:right w:w="225" w:type="dxa"/>
            </w:tcMar>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673"/>
                    <w:gridCol w:w="2754"/>
                    <w:gridCol w:w="2673"/>
                  </w:tblGrid>
                  <w:tr w:rsidR="00995769" w:rsidRPr="00995769">
                    <w:trPr>
                      <w:jc w:val="center"/>
                    </w:trPr>
                    <w:tc>
                      <w:tcPr>
                        <w:tcW w:w="1650" w:type="pct"/>
                        <w:vAlign w:val="center"/>
                        <w:hideMark/>
                      </w:tcPr>
                      <w:p w:rsidR="00995769" w:rsidRPr="00995769" w:rsidRDefault="00995769" w:rsidP="00995769">
                        <w:pPr>
                          <w:spacing w:after="0" w:line="240" w:lineRule="auto"/>
                          <w:rPr>
                            <w:rFonts w:ascii="Times New Roman" w:eastAsia="Times New Roman" w:hAnsi="Times New Roman" w:cs="Times New Roman"/>
                            <w:sz w:val="20"/>
                            <w:szCs w:val="20"/>
                          </w:rPr>
                        </w:pPr>
                      </w:p>
                    </w:tc>
                    <w:tc>
                      <w:tcPr>
                        <w:tcW w:w="1700" w:type="pct"/>
                        <w:tcBorders>
                          <w:top w:val="single" w:sz="8" w:space="0" w:color="338720"/>
                          <w:left w:val="single" w:sz="8" w:space="0" w:color="338720"/>
                          <w:bottom w:val="single" w:sz="8" w:space="0" w:color="338720"/>
                          <w:right w:val="single" w:sz="8" w:space="0" w:color="338720"/>
                        </w:tcBorders>
                        <w:tcMar>
                          <w:top w:w="225" w:type="dxa"/>
                          <w:left w:w="225" w:type="dxa"/>
                          <w:bottom w:w="225" w:type="dxa"/>
                          <w:right w:w="225" w:type="dxa"/>
                        </w:tcMar>
                        <w:vAlign w:val="center"/>
                        <w:hideMark/>
                      </w:tcPr>
                      <w:p w:rsidR="00995769" w:rsidRPr="00995769" w:rsidRDefault="0003620B" w:rsidP="00995769">
                        <w:pPr>
                          <w:spacing w:after="0" w:line="205" w:lineRule="atLeast"/>
                          <w:jc w:val="center"/>
                          <w:rPr>
                            <w:rFonts w:ascii="Helvetica" w:eastAsia="Times New Roman" w:hAnsi="Helvetica" w:cs="Helvetica"/>
                            <w:sz w:val="24"/>
                            <w:szCs w:val="24"/>
                          </w:rPr>
                        </w:pPr>
                        <w:hyperlink r:id="rId7" w:tgtFrame="_blank" w:history="1">
                          <w:r w:rsidR="00995769" w:rsidRPr="00995769">
                            <w:rPr>
                              <w:rFonts w:ascii="Helvetica" w:eastAsia="Times New Roman" w:hAnsi="Helvetica" w:cs="Helvetica"/>
                              <w:color w:val="338720"/>
                              <w:sz w:val="27"/>
                              <w:szCs w:val="27"/>
                            </w:rPr>
                            <w:t>Enroll today</w:t>
                          </w:r>
                        </w:hyperlink>
                      </w:p>
                    </w:tc>
                    <w:tc>
                      <w:tcPr>
                        <w:tcW w:w="1650" w:type="pct"/>
                        <w:vAlign w:val="center"/>
                        <w:hideMark/>
                      </w:tcPr>
                      <w:p w:rsidR="00995769" w:rsidRPr="00995769" w:rsidRDefault="00995769" w:rsidP="00995769">
                        <w:pPr>
                          <w:spacing w:after="0" w:line="240" w:lineRule="auto"/>
                          <w:rPr>
                            <w:rFonts w:ascii="Helvetica" w:eastAsia="Times New Roman" w:hAnsi="Helvetica" w:cs="Helvetica"/>
                            <w:sz w:val="24"/>
                            <w:szCs w:val="24"/>
                          </w:rPr>
                        </w:pP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0" w:type="dxa"/>
                    <w:left w:w="0" w:type="dxa"/>
                    <w:bottom w:w="150" w:type="dxa"/>
                    <w:right w:w="0" w:type="dxa"/>
                  </w:tcMar>
                  <w:vAlign w:val="center"/>
                  <w:hideMark/>
                </w:tcPr>
                <w:p w:rsidR="00995769" w:rsidRPr="00995769" w:rsidRDefault="00995769" w:rsidP="00995769">
                  <w:pPr>
                    <w:spacing w:after="0" w:line="225" w:lineRule="atLeast"/>
                    <w:rPr>
                      <w:rFonts w:ascii="Helvetica" w:eastAsia="Times New Roman" w:hAnsi="Helvetica" w:cs="Helvetica"/>
                      <w:sz w:val="24"/>
                      <w:szCs w:val="24"/>
                    </w:rPr>
                  </w:pPr>
                  <w:r w:rsidRPr="00995769">
                    <w:rPr>
                      <w:rFonts w:ascii="Helvetica" w:eastAsia="Times New Roman" w:hAnsi="Helvetica" w:cs="Helvetica"/>
                      <w:color w:val="338720"/>
                      <w:sz w:val="18"/>
                      <w:szCs w:val="18"/>
                      <w:vertAlign w:val="superscript"/>
                    </w:rPr>
                    <w:t>1</w:t>
                  </w:r>
                  <w:r w:rsidRPr="00995769">
                    <w:rPr>
                      <w:rFonts w:ascii="Helvetica" w:eastAsia="Times New Roman" w:hAnsi="Helvetica" w:cs="Helvetica"/>
                      <w:color w:val="262626"/>
                      <w:sz w:val="18"/>
                      <w:szCs w:val="18"/>
                    </w:rPr>
                    <w:t> Plans purchased through the Smile On program are considered new coverage and not a continuation of any plan you may currently have. Waiting periods may apply. Any applicable deductibles and maximums will reset. Limitations and Exclusions apply. See plan documents for details.</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0" w:type="dxa"/>
                    <w:left w:w="0" w:type="dxa"/>
                    <w:bottom w:w="150" w:type="dxa"/>
                    <w:right w:w="0" w:type="dxa"/>
                  </w:tcMar>
                  <w:vAlign w:val="center"/>
                  <w:hideMark/>
                </w:tcPr>
                <w:p w:rsidR="00995769" w:rsidRPr="00995769" w:rsidRDefault="00995769" w:rsidP="00995769">
                  <w:pPr>
                    <w:spacing w:after="0" w:line="225" w:lineRule="atLeast"/>
                    <w:rPr>
                      <w:rFonts w:ascii="Helvetica" w:eastAsia="Times New Roman" w:hAnsi="Helvetica" w:cs="Helvetica"/>
                      <w:sz w:val="24"/>
                      <w:szCs w:val="24"/>
                    </w:rPr>
                  </w:pPr>
                  <w:r w:rsidRPr="00995769">
                    <w:rPr>
                      <w:rFonts w:ascii="Helvetica" w:eastAsia="Times New Roman" w:hAnsi="Helvetica" w:cs="Helvetica"/>
                      <w:color w:val="338720"/>
                      <w:sz w:val="18"/>
                      <w:szCs w:val="18"/>
                    </w:rPr>
                    <w:t>©Delta Dental.</w:t>
                  </w:r>
                  <w:r w:rsidRPr="00995769">
                    <w:rPr>
                      <w:rFonts w:ascii="Helvetica" w:eastAsia="Times New Roman" w:hAnsi="Helvetica" w:cs="Helvetica"/>
                      <w:color w:val="262626"/>
                      <w:sz w:val="18"/>
                      <w:szCs w:val="18"/>
                    </w:rPr>
                    <w:t> Delta Dental of California, Mid-Atlantic states (Delta Dental of Delaware, Inc.; Delta Dental of the District of Columbia; Delta Dental of New York, Inc.; Delta Dental of Pennsylvania [and Maryland], Delta Dental of West Virginia, Inc.) and Delta Dental Insurance Company, together with our affiliate companies, represent one of the country’s largest dental benefits delivery systems, administering benefits to 36.8 million people in 15 states plus the District of Columbia and Puerto Rico. All our companies are members, or affiliates of members, of Delta Dental Plans Association, the national network of 39 Delta Dental companies that together provide dental coverage to 80 million people in the U.S.</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tbl>
            <w:tblPr>
              <w:tblW w:w="8100" w:type="dxa"/>
              <w:jc w:val="center"/>
              <w:tblCellMar>
                <w:left w:w="0" w:type="dxa"/>
                <w:right w:w="0" w:type="dxa"/>
              </w:tblCellMar>
              <w:tblLook w:val="04A0" w:firstRow="1" w:lastRow="0" w:firstColumn="1" w:lastColumn="0" w:noHBand="0" w:noVBand="1"/>
            </w:tblPr>
            <w:tblGrid>
              <w:gridCol w:w="8100"/>
            </w:tblGrid>
            <w:tr w:rsidR="00995769" w:rsidRPr="00995769">
              <w:trPr>
                <w:jc w:val="center"/>
              </w:trPr>
              <w:tc>
                <w:tcPr>
                  <w:tcW w:w="0" w:type="auto"/>
                  <w:tcMar>
                    <w:top w:w="0" w:type="dxa"/>
                    <w:left w:w="0" w:type="dxa"/>
                    <w:bottom w:w="150" w:type="dxa"/>
                    <w:right w:w="0" w:type="dxa"/>
                  </w:tcMar>
                  <w:vAlign w:val="center"/>
                  <w:hideMark/>
                </w:tcPr>
                <w:p w:rsidR="00995769" w:rsidRPr="00995769" w:rsidRDefault="00995769" w:rsidP="00995769">
                  <w:pPr>
                    <w:spacing w:after="0" w:line="225" w:lineRule="atLeast"/>
                    <w:rPr>
                      <w:rFonts w:ascii="Helvetica" w:eastAsia="Times New Roman" w:hAnsi="Helvetica" w:cs="Helvetica"/>
                      <w:sz w:val="24"/>
                      <w:szCs w:val="24"/>
                    </w:rPr>
                  </w:pPr>
                  <w:r w:rsidRPr="00995769">
                    <w:rPr>
                      <w:rFonts w:ascii="Helvetica" w:eastAsia="Times New Roman" w:hAnsi="Helvetica" w:cs="Helvetica"/>
                      <w:color w:val="262626"/>
                      <w:sz w:val="18"/>
                      <w:szCs w:val="18"/>
                    </w:rPr>
                    <w:t>Delta Dental Insurance Company, 1130 Sanctuary Parkway, Alpharetta, GA 30009</w:t>
                  </w:r>
                </w:p>
              </w:tc>
            </w:tr>
          </w:tbl>
          <w:p w:rsidR="00995769" w:rsidRPr="00995769" w:rsidRDefault="00995769" w:rsidP="00995769">
            <w:pPr>
              <w:spacing w:after="0" w:line="240" w:lineRule="auto"/>
              <w:jc w:val="center"/>
              <w:rPr>
                <w:rFonts w:ascii="Helvetica" w:eastAsia="Times New Roman" w:hAnsi="Helvetica" w:cs="Helvetica"/>
                <w:sz w:val="24"/>
                <w:szCs w:val="24"/>
              </w:rPr>
            </w:pPr>
          </w:p>
        </w:tc>
      </w:tr>
      <w:tr w:rsidR="00995769" w:rsidRPr="00995769" w:rsidTr="00995769">
        <w:trPr>
          <w:jc w:val="center"/>
        </w:trPr>
        <w:tc>
          <w:tcPr>
            <w:tcW w:w="0" w:type="auto"/>
            <w:shd w:val="clear" w:color="auto" w:fill="FFFFFF"/>
            <w:vAlign w:val="center"/>
            <w:hideMark/>
          </w:tcPr>
          <w:p w:rsidR="00995769" w:rsidRPr="00995769" w:rsidRDefault="00995769" w:rsidP="00995769">
            <w:pPr>
              <w:spacing w:after="0" w:line="240" w:lineRule="atLeast"/>
              <w:rPr>
                <w:rFonts w:ascii="Helvetica" w:eastAsia="Times New Roman" w:hAnsi="Helvetica" w:cs="Helvetica"/>
                <w:sz w:val="24"/>
                <w:szCs w:val="24"/>
              </w:rPr>
            </w:pPr>
          </w:p>
        </w:tc>
      </w:tr>
    </w:tbl>
    <w:p w:rsidR="00995769" w:rsidRPr="00995769" w:rsidRDefault="00995769" w:rsidP="00995769">
      <w:pPr>
        <w:shd w:val="clear" w:color="auto" w:fill="FFFFFF"/>
        <w:spacing w:after="0" w:line="240" w:lineRule="auto"/>
        <w:rPr>
          <w:rFonts w:ascii="Arial" w:eastAsia="Times New Roman" w:hAnsi="Arial" w:cs="Arial"/>
          <w:color w:val="222222"/>
          <w:sz w:val="24"/>
          <w:szCs w:val="24"/>
        </w:rPr>
      </w:pPr>
      <w:r w:rsidRPr="00995769">
        <w:rPr>
          <w:rFonts w:ascii="Arial" w:eastAsia="Times New Roman" w:hAnsi="Arial" w:cs="Arial"/>
          <w:color w:val="222222"/>
          <w:sz w:val="24"/>
          <w:szCs w:val="24"/>
        </w:rPr>
        <w:t> </w:t>
      </w:r>
    </w:p>
    <w:p w:rsidR="00995769" w:rsidRPr="00995769" w:rsidRDefault="00995769" w:rsidP="00995769">
      <w:pPr>
        <w:shd w:val="clear" w:color="auto" w:fill="FFFFFF"/>
        <w:spacing w:after="0" w:line="240" w:lineRule="auto"/>
        <w:rPr>
          <w:rFonts w:ascii="Arial" w:eastAsia="Times New Roman" w:hAnsi="Arial" w:cs="Arial"/>
          <w:color w:val="222222"/>
          <w:sz w:val="24"/>
          <w:szCs w:val="24"/>
        </w:rPr>
      </w:pPr>
      <w:r w:rsidRPr="00995769">
        <w:rPr>
          <w:rFonts w:ascii="Arial" w:eastAsia="Times New Roman" w:hAnsi="Arial" w:cs="Arial"/>
          <w:color w:val="222222"/>
          <w:sz w:val="24"/>
          <w:szCs w:val="24"/>
        </w:rPr>
        <w:t> </w:t>
      </w:r>
    </w:p>
    <w:p w:rsidR="00995769" w:rsidRPr="00995769" w:rsidRDefault="00995769" w:rsidP="00995769">
      <w:pPr>
        <w:shd w:val="clear" w:color="auto" w:fill="FFFFFF"/>
        <w:spacing w:after="0" w:line="240" w:lineRule="auto"/>
        <w:rPr>
          <w:rFonts w:ascii="Arial" w:eastAsia="Times New Roman" w:hAnsi="Arial" w:cs="Arial"/>
          <w:color w:val="222222"/>
          <w:sz w:val="24"/>
          <w:szCs w:val="24"/>
        </w:rPr>
      </w:pPr>
      <w:r w:rsidRPr="00995769">
        <w:rPr>
          <w:rFonts w:ascii="Arial" w:eastAsia="Times New Roman" w:hAnsi="Arial" w:cs="Arial"/>
          <w:color w:val="222222"/>
          <w:sz w:val="24"/>
          <w:szCs w:val="24"/>
        </w:rPr>
        <w:t> </w:t>
      </w:r>
    </w:p>
    <w:p w:rsidR="007E1A74" w:rsidRDefault="007E1A74"/>
    <w:sectPr w:rsidR="007E1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69"/>
    <w:rsid w:val="0001130E"/>
    <w:rsid w:val="0003620B"/>
    <w:rsid w:val="007E1A74"/>
    <w:rsid w:val="0099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D82B4-3E4F-4712-ADD1-B34C1A2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57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7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5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deltadentalins.com/smileon.html?utm_source=sales&amp;utm_medium=flyer&amp;utm_campaign=smile-on-incentive&amp;utm_content=Ryan-Neese&amp;utm_term=307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deltadentalins.com/smileon.html?utm_source=sales&amp;utm_medium=flyer&amp;utm_campaign=smile-on-incentive&amp;utm_content=Ryan-Neese&amp;utm_term=30780" TargetMode="External"/><Relationship Id="rId5" Type="http://schemas.openxmlformats.org/officeDocument/2006/relationships/hyperlink" Target="https://www1.deltadentalins.com/smileon.html?utm_source=sales&amp;utm_medium=flyer&amp;utm_campaign=smile-on-incentive&amp;utm_content=Ryan-Neese&amp;utm_term=30780" TargetMode="External"/><Relationship Id="rId4" Type="http://schemas.openxmlformats.org/officeDocument/2006/relationships/hyperlink" Target="https://www1.deltadentalins.com/smileon.html?utm_source=sales&amp;utm_medium=email&amp;utm_campaign=130107-d2csmileon&amp;utm_content=benefit-adm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Rocklin Unified School District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Inglis</dc:creator>
  <cp:keywords/>
  <dc:description/>
  <cp:lastModifiedBy>Sarah Harris</cp:lastModifiedBy>
  <cp:revision>2</cp:revision>
  <dcterms:created xsi:type="dcterms:W3CDTF">2021-05-10T15:56:00Z</dcterms:created>
  <dcterms:modified xsi:type="dcterms:W3CDTF">2021-05-10T15:56:00Z</dcterms:modified>
</cp:coreProperties>
</file>